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spacing w:line="700" w:lineRule="exact"/>
        <w:jc w:val="center"/>
        <w:rPr>
          <w:rFonts w:ascii="SimSong Bold" w:cs="SimSong Bold" w:hAnsi="SimSong Bold" w:eastAsia="SimSong Bold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2023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32"/>
          <w:szCs w:val="32"/>
          <w:rtl w:val="0"/>
          <w:lang w:val="zh-TW" w:eastAsia="zh-TW"/>
        </w:rPr>
        <w:t>年苏州大学苏州医学院学生课外科研项目申报指南</w:t>
      </w:r>
    </w:p>
    <w:p>
      <w:pPr>
        <w:pStyle w:val="正文"/>
        <w:spacing w:line="300" w:lineRule="exact"/>
        <w:jc w:val="center"/>
        <w:rPr>
          <w:rFonts w:ascii="SimSong Bold" w:cs="SimSong Bold" w:hAnsi="SimSong Bold" w:eastAsia="SimSong Bold"/>
        </w:rPr>
      </w:pPr>
    </w:p>
    <w:tbl>
      <w:tblPr>
        <w:tblW w:w="8128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86"/>
        <w:gridCol w:w="975"/>
        <w:gridCol w:w="160"/>
        <w:gridCol w:w="2302"/>
        <w:gridCol w:w="3305"/>
      </w:tblGrid>
      <w:tr>
        <w:tblPrEx>
          <w:shd w:val="clear" w:color="auto" w:fill="ced7e7"/>
        </w:tblPrEx>
        <w:trPr>
          <w:trHeight w:val="459" w:hRule="atLeast"/>
        </w:trPr>
        <w:tc>
          <w:tcPr>
            <w:tcW w:type="dxa" w:w="236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"/>
              <w:spacing w:line="500" w:lineRule="exact"/>
              <w:jc w:val="center"/>
            </w:pPr>
            <w:r>
              <w:rPr>
                <w:rFonts w:eastAsia="SimSong Bold" w:hint="eastAsia"/>
                <w:sz w:val="24"/>
                <w:szCs w:val="24"/>
                <w:shd w:val="nil" w:color="auto" w:fill="auto"/>
                <w:rtl w:val="0"/>
                <w:lang w:val="zh-TW" w:eastAsia="zh-TW"/>
              </w:rPr>
              <w:t>学院或科研院所</w:t>
            </w:r>
          </w:p>
        </w:tc>
        <w:tc>
          <w:tcPr>
            <w:tcW w:type="dxa" w:w="576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"/>
              <w:spacing w:line="500" w:lineRule="exact"/>
              <w:jc w:val="center"/>
            </w:pPr>
            <w:r>
              <w:rPr>
                <w:rFonts w:eastAsia="SimSong Bold" w:hint="eastAsia"/>
                <w:sz w:val="24"/>
                <w:szCs w:val="24"/>
                <w:shd w:val="nil" w:color="auto" w:fill="auto"/>
                <w:rtl w:val="0"/>
                <w:lang w:val="zh-TW" w:eastAsia="zh-TW"/>
              </w:rPr>
              <w:t>基础医学与生物科学学院</w:t>
            </w:r>
          </w:p>
        </w:tc>
      </w:tr>
      <w:tr>
        <w:tblPrEx>
          <w:shd w:val="clear" w:color="auto" w:fill="ced7e7"/>
        </w:tblPrEx>
        <w:trPr>
          <w:trHeight w:val="454" w:hRule="atLeast"/>
        </w:trPr>
        <w:tc>
          <w:tcPr>
            <w:tcW w:type="dxa" w:w="236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"/>
              <w:spacing w:line="500" w:lineRule="exact"/>
              <w:jc w:val="center"/>
            </w:pPr>
            <w:r>
              <w:rPr>
                <w:rFonts w:eastAsia="SimSong Bold" w:hint="eastAsia"/>
                <w:sz w:val="24"/>
                <w:szCs w:val="24"/>
                <w:shd w:val="nil" w:color="auto" w:fill="auto"/>
                <w:rtl w:val="0"/>
                <w:lang w:val="zh-TW" w:eastAsia="zh-TW"/>
              </w:rPr>
              <w:t>学科领域</w:t>
            </w:r>
          </w:p>
        </w:tc>
        <w:tc>
          <w:tcPr>
            <w:tcW w:type="dxa" w:w="576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500" w:lineRule="exact"/>
              <w:jc w:val="center"/>
            </w:pPr>
            <w:r>
              <w:rPr>
                <w:rFonts w:eastAsia="SimSong Bold" w:hint="eastAsia"/>
                <w:kern w:val="2"/>
                <w:shd w:val="nil" w:color="auto" w:fill="auto"/>
                <w:rtl w:val="0"/>
                <w:lang w:val="zh-CN" w:eastAsia="zh-CN"/>
                <w14:textOutline w14:w="12700" w14:cap="flat">
                  <w14:noFill/>
                  <w14:miter w14:lim="400000"/>
                </w14:textOutline>
              </w:rPr>
              <w:t>干细胞与组织工程</w:t>
            </w:r>
          </w:p>
        </w:tc>
      </w:tr>
      <w:tr>
        <w:tblPrEx>
          <w:shd w:val="clear" w:color="auto" w:fill="ced7e7"/>
        </w:tblPrEx>
        <w:trPr>
          <w:trHeight w:val="5502" w:hRule="atLeast"/>
        </w:trPr>
        <w:tc>
          <w:tcPr>
            <w:tcW w:type="dxa" w:w="8128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rPr>
                <w:sz w:val="22"/>
                <w:szCs w:val="22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2"/>
                <w:szCs w:val="22"/>
                <w:rtl w:val="0"/>
                <w:lang w:val="zh-TW" w:eastAsia="zh-TW"/>
              </w:rPr>
              <w:t>研究方向：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2"/>
                <w:szCs w:val="22"/>
                <w:rtl w:val="0"/>
                <w:lang w:val="zh-TW" w:eastAsia="zh-TW"/>
              </w:rPr>
              <w:t>间充质干细胞贴片改善缺血性损伤作用研究</w:t>
            </w:r>
          </w:p>
          <w:p>
            <w:pPr>
              <w:pStyle w:val="正文"/>
              <w:bidi w:val="0"/>
              <w:spacing w:line="500" w:lineRule="exact"/>
              <w:ind w:left="0" w:right="0" w:firstLine="0"/>
              <w:jc w:val="both"/>
              <w:rPr>
                <w:kern w:val="0"/>
                <w:sz w:val="22"/>
                <w:szCs w:val="22"/>
                <w:rtl w:val="0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2"/>
                <w:sz w:val="22"/>
                <w:szCs w:val="22"/>
                <w:rtl w:val="0"/>
                <w:lang w:val="zh-TW" w:eastAsia="zh-TW"/>
              </w:rPr>
              <w:t>研究内容：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缺血引起的血管疾病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如心肌梗死、老龄化和糖尿病并发的外周血管疾病，发病率和死亡率都很高。手术或血管内再通是其治疗的金标准，然而，很多患者不适合采用上述治疗，其中大多数会因并发症而死亡。应用生长因子和</w:t>
            </w:r>
            <w:r>
              <w:rPr>
                <w:kern w:val="0"/>
                <w:sz w:val="22"/>
                <w:szCs w:val="22"/>
                <w:rtl w:val="0"/>
                <w:lang w:val="zh-TW" w:eastAsia="zh-TW"/>
              </w:rPr>
              <w:t>/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或干细胞促进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ja-JP" w:eastAsia="ja-JP"/>
              </w:rPr>
              <w:t>血管生成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是目前治疗缺血区域血管再通的有效策略之一。</w:t>
            </w:r>
          </w:p>
          <w:p>
            <w:pPr>
              <w:pStyle w:val="正文"/>
              <w:bidi w:val="0"/>
              <w:spacing w:line="500" w:lineRule="exact"/>
              <w:ind w:left="0" w:right="0" w:firstLine="567"/>
              <w:jc w:val="both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本项目将在前期研究证实间充质干细胞</w:t>
            </w:r>
            <w:r>
              <w:rPr>
                <w:kern w:val="0"/>
                <w:sz w:val="22"/>
                <w:szCs w:val="22"/>
                <w:rtl w:val="0"/>
                <w:lang w:val="zh-CN" w:eastAsia="zh-CN"/>
              </w:rPr>
              <w:t xml:space="preserve"> (</w:t>
            </w:r>
            <w:r>
              <w:rPr>
                <w:kern w:val="0"/>
                <w:sz w:val="22"/>
                <w:szCs w:val="22"/>
                <w:rtl w:val="0"/>
                <w:lang w:val="zh-TW" w:eastAsia="zh-TW"/>
              </w:rPr>
              <w:t>Mesenchymal stem cells, MSCs</w:t>
            </w:r>
            <w:r>
              <w:rPr>
                <w:kern w:val="0"/>
                <w:sz w:val="22"/>
                <w:szCs w:val="22"/>
                <w:rtl w:val="0"/>
                <w:lang w:val="zh-CN" w:eastAsia="zh-CN"/>
              </w:rPr>
              <w:t xml:space="preserve">)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与不同生物材料通过</w:t>
            </w:r>
            <w:r>
              <w:rPr>
                <w:kern w:val="0"/>
                <w:sz w:val="22"/>
                <w:szCs w:val="22"/>
                <w:rtl w:val="0"/>
                <w:lang w:val="en-US"/>
              </w:rPr>
              <w:t>3D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打印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制备的贴片在体外能够显著诱导血管生成与生长的基础上，进一步开展体内实验，研究</w:t>
            </w:r>
            <w:r>
              <w:rPr>
                <w:kern w:val="0"/>
                <w:sz w:val="22"/>
                <w:szCs w:val="22"/>
                <w:rtl w:val="0"/>
                <w:lang w:val="zh-TW" w:eastAsia="zh-TW"/>
              </w:rPr>
              <w:t>MSCs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与不同生物材料制备的贴片对小鼠后肢缺血性损伤的修复效果，检测损伤部位血管生成情况，评价</w:t>
            </w:r>
            <w:r>
              <w:rPr>
                <w:kern w:val="0"/>
                <w:sz w:val="22"/>
                <w:szCs w:val="22"/>
                <w:rtl w:val="0"/>
                <w:lang w:val="zh-TW" w:eastAsia="zh-TW"/>
              </w:rPr>
              <w:t>MSCs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及其旁分泌成分制备的贴片应用于外周缺血性损伤修复的潜能。</w:t>
            </w:r>
          </w:p>
        </w:tc>
      </w:tr>
      <w:tr>
        <w:tblPrEx>
          <w:shd w:val="clear" w:color="auto" w:fill="ced7e7"/>
        </w:tblPrEx>
        <w:trPr>
          <w:trHeight w:val="3502" w:hRule="atLeast"/>
        </w:trPr>
        <w:tc>
          <w:tcPr>
            <w:tcW w:type="dxa" w:w="8128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rPr>
                <w:rFonts w:ascii="SimSong Bold" w:cs="SimSong Bold" w:hAnsi="SimSong Bold" w:eastAsia="SimSong Bold"/>
                <w:shd w:val="nil" w:color="auto" w:fill="auto"/>
              </w:rPr>
            </w:pPr>
            <w:r>
              <w:rPr>
                <w:rFonts w:eastAsia="SimSong Bold" w:hint="eastAsia"/>
                <w:shd w:val="nil" w:color="auto" w:fill="auto"/>
                <w:rtl w:val="0"/>
                <w:lang w:val="zh-TW" w:eastAsia="zh-TW"/>
              </w:rPr>
              <w:t>目前研究水平及指导学生项目情况（包括最新进展、指导过</w:t>
            </w:r>
            <w:r>
              <w:rPr>
                <w:rFonts w:ascii="SimSong Bold" w:hAnsi="SimSong Bold" w:hint="default"/>
                <w:shd w:val="nil" w:color="auto" w:fill="auto"/>
                <w:rtl w:val="0"/>
                <w:lang w:val="en-US"/>
              </w:rPr>
              <w:t>‘</w:t>
            </w:r>
            <w:r>
              <w:rPr>
                <w:rFonts w:eastAsia="SimSong Bold" w:hint="eastAsia"/>
                <w:shd w:val="nil" w:color="auto" w:fill="auto"/>
                <w:rtl w:val="0"/>
                <w:lang w:val="zh-TW" w:eastAsia="zh-TW"/>
              </w:rPr>
              <w:t>创新性实验项目</w:t>
            </w:r>
            <w:r>
              <w:rPr>
                <w:rFonts w:ascii="SimSong Bold" w:hAnsi="SimSong Bold" w:hint="default"/>
                <w:shd w:val="nil" w:color="auto" w:fill="auto"/>
                <w:rtl w:val="0"/>
                <w:lang w:val="en-US"/>
              </w:rPr>
              <w:t>’</w:t>
            </w:r>
            <w:r>
              <w:rPr>
                <w:rFonts w:eastAsia="SimSong Bold" w:hint="eastAsia"/>
                <w:shd w:val="nil" w:color="auto" w:fill="auto"/>
                <w:rtl w:val="0"/>
                <w:lang w:val="zh-TW" w:eastAsia="zh-TW"/>
              </w:rPr>
              <w:t>或</w:t>
            </w:r>
            <w:r>
              <w:rPr>
                <w:rFonts w:ascii="SimSong Bold" w:hAnsi="SimSong Bold" w:hint="default"/>
                <w:shd w:val="nil" w:color="auto" w:fill="auto"/>
                <w:rtl w:val="0"/>
                <w:lang w:val="en-US"/>
              </w:rPr>
              <w:t>‘</w:t>
            </w:r>
            <w:r>
              <w:rPr>
                <w:rFonts w:eastAsia="SimSong Bold" w:hint="eastAsia"/>
                <w:shd w:val="nil" w:color="auto" w:fill="auto"/>
                <w:rtl w:val="0"/>
                <w:lang w:val="zh-TW" w:eastAsia="zh-TW"/>
              </w:rPr>
              <w:t>䇹政学者</w:t>
            </w:r>
            <w:r>
              <w:rPr>
                <w:rFonts w:ascii="SimSong Bold" w:hAnsi="SimSong Bold" w:hint="default"/>
                <w:shd w:val="nil" w:color="auto" w:fill="auto"/>
                <w:rtl w:val="0"/>
                <w:lang w:val="en-US"/>
              </w:rPr>
              <w:t>’</w:t>
            </w:r>
            <w:r>
              <w:rPr>
                <w:rFonts w:eastAsia="SimSong Bold" w:hint="eastAsia"/>
                <w:shd w:val="nil" w:color="auto" w:fill="auto"/>
                <w:rtl w:val="0"/>
                <w:lang w:val="zh-TW" w:eastAsia="zh-TW"/>
              </w:rPr>
              <w:t>的情况）</w:t>
            </w:r>
          </w:p>
          <w:p>
            <w:pPr>
              <w:pStyle w:val="正文"/>
              <w:bidi w:val="0"/>
              <w:spacing w:line="500" w:lineRule="exact"/>
              <w:ind w:left="0" w:right="0" w:firstLine="567"/>
              <w:jc w:val="both"/>
              <w:rPr>
                <w:kern w:val="0"/>
                <w:sz w:val="22"/>
                <w:szCs w:val="22"/>
                <w:rtl w:val="0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已利用</w:t>
            </w:r>
            <w:r>
              <w:rPr>
                <w:kern w:val="0"/>
                <w:sz w:val="22"/>
                <w:szCs w:val="22"/>
                <w:rtl w:val="0"/>
                <w:lang w:val="de-DE"/>
              </w:rPr>
              <w:t>GelMA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等多种材料结合</w:t>
            </w:r>
            <w:r>
              <w:rPr>
                <w:kern w:val="0"/>
                <w:sz w:val="22"/>
                <w:szCs w:val="22"/>
                <w:rtl w:val="0"/>
                <w:lang w:val="zh-TW" w:eastAsia="zh-TW"/>
              </w:rPr>
              <w:t>MSCs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通过</w:t>
            </w:r>
            <w:r>
              <w:rPr>
                <w:kern w:val="0"/>
                <w:sz w:val="22"/>
                <w:szCs w:val="22"/>
                <w:rtl w:val="0"/>
                <w:lang w:val="zh-TW" w:eastAsia="zh-TW"/>
              </w:rPr>
              <w:t>3D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打印制备贴片，发现了在体外显著诱导血管生成的</w:t>
            </w:r>
            <w:r>
              <w:rPr>
                <w:kern w:val="0"/>
                <w:sz w:val="22"/>
                <w:szCs w:val="22"/>
                <w:rtl w:val="0"/>
                <w:lang w:val="zh-TW" w:eastAsia="zh-TW"/>
              </w:rPr>
              <w:t>MSCs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贴片制备条件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</w:rPr>
              <w:t>。</w:t>
            </w:r>
          </w:p>
          <w:p>
            <w:pPr>
              <w:pStyle w:val="正文"/>
              <w:bidi w:val="0"/>
              <w:spacing w:line="500" w:lineRule="exact"/>
              <w:ind w:left="0" w:right="0" w:firstLine="567"/>
              <w:jc w:val="both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指导教师近年来发表相关</w:t>
            </w:r>
            <w:r>
              <w:rPr>
                <w:kern w:val="0"/>
                <w:sz w:val="22"/>
                <w:szCs w:val="22"/>
                <w:rtl w:val="0"/>
                <w:lang w:val="de-DE"/>
              </w:rPr>
              <w:t>SCI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论文</w:t>
            </w:r>
            <w:r>
              <w:rPr>
                <w:kern w:val="0"/>
                <w:sz w:val="22"/>
                <w:szCs w:val="22"/>
                <w:rtl w:val="0"/>
                <w:lang w:val="en-US"/>
              </w:rPr>
              <w:t>5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篇，指导过大学生创新创业训练计划项目、医学部学生课外科研项目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4"/>
                <w:szCs w:val="24"/>
                <w:rtl w:val="0"/>
                <w:lang w:val="zh-TW" w:eastAsia="zh-TW"/>
              </w:rPr>
              <w:t>。</w:t>
            </w:r>
          </w:p>
        </w:tc>
      </w:tr>
      <w:tr>
        <w:tblPrEx>
          <w:shd w:val="clear" w:color="auto" w:fill="ced7e7"/>
        </w:tblPrEx>
        <w:trPr>
          <w:trHeight w:val="3194" w:hRule="atLeast"/>
        </w:trPr>
        <w:tc>
          <w:tcPr>
            <w:tcW w:type="dxa" w:w="8128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rPr>
                <w:rFonts w:ascii="SimSong Bold" w:cs="SimSong Bold" w:hAnsi="SimSong Bold" w:eastAsia="SimSong Bold"/>
                <w:shd w:val="nil" w:color="auto" w:fill="auto"/>
              </w:rPr>
            </w:pPr>
            <w:r>
              <w:rPr>
                <w:rFonts w:eastAsia="SimSong Bold" w:hint="eastAsia"/>
                <w:shd w:val="nil" w:color="auto" w:fill="auto"/>
                <w:rtl w:val="0"/>
                <w:lang w:val="zh-TW" w:eastAsia="zh-TW"/>
              </w:rPr>
              <w:t>对项目实施人的要求（需注明适合指导学生的年级专业，医学院现有专业：生物技术、生物信息学、食品质量与安全、生物制药、临床医学、儿科学、医学影像学、放射医学、口腔医学、预防医学、法医学、药学、中药学、护理学、医学检验技术）</w:t>
            </w:r>
          </w:p>
          <w:p>
            <w:pPr>
              <w:pStyle w:val="Body A"/>
              <w:widowControl w:val="0"/>
              <w:jc w:val="both"/>
              <w:rPr>
                <w:rFonts w:ascii="SimSong Bold" w:cs="SimSong Bold" w:hAnsi="SimSong Bold" w:eastAsia="SimSong Bold"/>
                <w:kern w:val="2"/>
                <w:sz w:val="24"/>
                <w:szCs w:val="24"/>
                <w:shd w:val="nil" w:color="auto" w:fill="auto"/>
              </w:rPr>
            </w:pPr>
          </w:p>
          <w:p>
            <w:pPr>
              <w:pStyle w:val="正文"/>
              <w:bidi w:val="0"/>
              <w:spacing w:line="500" w:lineRule="exact"/>
              <w:ind w:left="0" w:right="0" w:firstLine="567"/>
              <w:jc w:val="both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要求生物技术或医学相关专业二年级学生，课余时间能够积极参与实验室工作。</w:t>
            </w:r>
          </w:p>
        </w:tc>
      </w:tr>
      <w:tr>
        <w:tblPrEx>
          <w:shd w:val="clear" w:color="auto" w:fill="ced7e7"/>
        </w:tblPrEx>
        <w:trPr>
          <w:trHeight w:val="449" w:hRule="atLeast"/>
        </w:trPr>
        <w:tc>
          <w:tcPr>
            <w:tcW w:type="dxa" w:w="8128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jc w:val="center"/>
            </w:pPr>
            <w:r>
              <w:rPr>
                <w:rFonts w:eastAsia="SimSong Bold" w:hint="eastAsia"/>
                <w:shd w:val="nil" w:color="auto" w:fill="auto"/>
                <w:rtl w:val="0"/>
                <w:lang w:val="zh-TW" w:eastAsia="zh-TW"/>
              </w:rPr>
              <w:t>可提供的指导教师及联系方式（注明研究方向，限一位指导教师）</w:t>
            </w:r>
          </w:p>
        </w:tc>
      </w:tr>
      <w:tr>
        <w:tblPrEx>
          <w:shd w:val="clear" w:color="auto" w:fill="ced7e7"/>
        </w:tblPrEx>
        <w:trPr>
          <w:trHeight w:val="449" w:hRule="atLeast"/>
        </w:trPr>
        <w:tc>
          <w:tcPr>
            <w:tcW w:type="dxa" w:w="1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jc w:val="center"/>
            </w:pPr>
            <w:r>
              <w:rPr>
                <w:rFonts w:eastAsia="SimSun" w:hint="eastAsia"/>
                <w:shd w:val="nil" w:color="auto" w:fill="auto"/>
                <w:rtl w:val="0"/>
                <w:lang w:val="zh-TW" w:eastAsia="zh-TW"/>
              </w:rPr>
              <w:t>姓名</w:t>
            </w:r>
          </w:p>
        </w:tc>
        <w:tc>
          <w:tcPr>
            <w:tcW w:type="dxa" w:w="11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2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ind w:left="132" w:firstLine="0"/>
              <w:jc w:val="center"/>
            </w:pPr>
            <w:r>
              <w:rPr>
                <w:rFonts w:eastAsia="SimSun" w:hint="eastAsia"/>
                <w:shd w:val="nil" w:color="auto" w:fill="auto"/>
                <w:rtl w:val="0"/>
                <w:lang w:val="zh-TW" w:eastAsia="zh-TW"/>
              </w:rPr>
              <w:t>职称</w:t>
            </w:r>
          </w:p>
        </w:tc>
        <w:tc>
          <w:tcPr>
            <w:tcW w:type="dxa" w:w="23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614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ind w:left="534" w:firstLine="0"/>
              <w:jc w:val="center"/>
            </w:pPr>
            <w:r>
              <w:rPr>
                <w:rFonts w:eastAsia="SimSun" w:hint="eastAsia"/>
                <w:shd w:val="nil" w:color="auto" w:fill="auto"/>
                <w:rtl w:val="0"/>
                <w:lang w:val="zh-TW" w:eastAsia="zh-TW"/>
              </w:rPr>
              <w:t>联系邮箱</w:t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jc w:val="center"/>
            </w:pPr>
            <w:r>
              <w:rPr>
                <w:rFonts w:eastAsia="SimSun" w:hint="eastAsia"/>
                <w:shd w:val="nil" w:color="auto" w:fill="auto"/>
                <w:rtl w:val="0"/>
                <w:lang w:val="zh-TW" w:eastAsia="zh-TW"/>
              </w:rPr>
              <w:t>研究方向</w:t>
            </w:r>
          </w:p>
        </w:tc>
      </w:tr>
      <w:tr>
        <w:tblPrEx>
          <w:shd w:val="clear" w:color="auto" w:fill="ced7e7"/>
        </w:tblPrEx>
        <w:trPr>
          <w:trHeight w:val="1227" w:hRule="atLeast"/>
        </w:trPr>
        <w:tc>
          <w:tcPr>
            <w:tcW w:type="dxa" w:w="1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jc w:val="center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CN" w:eastAsia="zh-CN"/>
              </w:rPr>
              <w:t>贺丽虹</w:t>
            </w:r>
          </w:p>
        </w:tc>
        <w:tc>
          <w:tcPr>
            <w:tcW w:type="dxa" w:w="11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jc w:val="center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TW" w:eastAsia="zh-TW"/>
              </w:rPr>
              <w:t>副教授</w:t>
            </w:r>
          </w:p>
        </w:tc>
        <w:tc>
          <w:tcPr>
            <w:tcW w:type="dxa" w:w="23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jc w:val="center"/>
            </w:pPr>
            <w:r>
              <w:rPr>
                <w:rStyle w:val="Hyperlink.0"/>
                <w:rFonts w:ascii="Times Roman" w:cs="Times Roman" w:hAnsi="Times Roman" w:eastAsia="Times Roman"/>
                <w:kern w:val="0"/>
                <w:sz w:val="22"/>
                <w:szCs w:val="22"/>
                <w:lang w:val="zh-TW" w:eastAsia="zh-TW"/>
              </w:rPr>
              <w:fldChar w:fldCharType="begin" w:fldLock="0"/>
            </w:r>
            <w:r>
              <w:rPr>
                <w:rStyle w:val="Hyperlink.0"/>
                <w:rFonts w:ascii="Times Roman" w:cs="Times Roman" w:hAnsi="Times Roman" w:eastAsia="Times Roman"/>
                <w:kern w:val="0"/>
                <w:sz w:val="22"/>
                <w:szCs w:val="22"/>
                <w:lang w:val="zh-TW" w:eastAsia="zh-TW"/>
              </w:rPr>
              <w:instrText xml:space="preserve"> HYPERLINK "mailto:helh@suda.edu.cn"</w:instrText>
            </w:r>
            <w:r>
              <w:rPr>
                <w:rStyle w:val="Hyperlink.0"/>
                <w:rFonts w:ascii="Times Roman" w:cs="Times Roman" w:hAnsi="Times Roman" w:eastAsia="Times Roman"/>
                <w:kern w:val="0"/>
                <w:sz w:val="22"/>
                <w:szCs w:val="22"/>
                <w:lang w:val="zh-TW" w:eastAsia="zh-TW"/>
              </w:rPr>
              <w:fldChar w:fldCharType="separate" w:fldLock="0"/>
            </w:r>
            <w:r>
              <w:rPr>
                <w:rStyle w:val="Hyperlink.0"/>
                <w:rFonts w:ascii="Times Roman" w:hAnsi="Times Roman"/>
                <w:kern w:val="0"/>
                <w:sz w:val="22"/>
                <w:szCs w:val="22"/>
                <w:rtl w:val="0"/>
                <w:lang w:val="zh-TW" w:eastAsia="zh-TW"/>
              </w:rPr>
              <w:t>helh@suda.edu.cn</w:t>
            </w:r>
            <w:r>
              <w:rPr>
                <w:sz w:val="22"/>
                <w:szCs w:val="22"/>
              </w:rPr>
              <w:fldChar w:fldCharType="end" w:fldLock="0"/>
            </w:r>
          </w:p>
        </w:tc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  <w:spacing w:line="500" w:lineRule="exact"/>
              <w:jc w:val="center"/>
            </w:pPr>
            <w:r>
              <w:rPr>
                <w:rStyle w:val="None"/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kern w:val="0"/>
                <w:sz w:val="22"/>
                <w:szCs w:val="22"/>
                <w:rtl w:val="0"/>
                <w:lang w:val="zh-CN" w:eastAsia="zh-CN"/>
              </w:rPr>
              <w:t>干细胞与组织工程</w:t>
            </w:r>
          </w:p>
        </w:tc>
      </w:tr>
    </w:tbl>
    <w:p>
      <w:pPr>
        <w:pStyle w:val="正文"/>
        <w:ind w:left="216" w:hanging="216"/>
        <w:jc w:val="center"/>
      </w:pPr>
      <w:r>
        <w:rPr>
          <w:rStyle w:val="None"/>
          <w:rFonts w:ascii="SimSong Bold" w:cs="SimSong Bold" w:hAnsi="SimSong Bold" w:eastAsia="SimSong Bold"/>
        </w:rPr>
      </w:r>
    </w:p>
    <w:sectPr>
      <w:headerReference w:type="default" r:id="rId4"/>
      <w:footerReference w:type="default" r:id="rId5"/>
      <w:pgSz w:w="11900" w:h="16840" w:orient="portrait"/>
      <w:pgMar w:top="1247" w:right="1797" w:bottom="1247" w:left="1797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SimSong Bold">
    <w:charset w:val="00"/>
    <w:family w:val="roman"/>
    <w:pitch w:val="default"/>
  </w:font>
  <w:font w:name="SimSun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4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正文">
    <w:name w:val="正文"/>
    <w:next w:val="正文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Times New Roman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Roman" w:cs="Times Roman" w:hAnsi="Times Roman" w:eastAsia="Times Roman"/>
      <w:kern w:val="0"/>
      <w:lang w:val="zh-TW" w:eastAsia="zh-TW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